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Материально-техническое обеспечение и оснащение</w:t>
      </w:r>
    </w:p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Филиала ГУП РК «Солнечная Таврика» «Оздоровительно-спортивный комплекс «Дельфин»</w:t>
      </w:r>
    </w:p>
    <w:p>
      <w:pPr>
        <w:pStyle w:val="Normal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Даты постройки объектов, используемых Ф ГУП РК «Солнечная Таврика» «Оздоровительно-спортивного комплекса «Дельфин»:</w:t>
      </w:r>
    </w:p>
    <w:p>
      <w:pPr>
        <w:pStyle w:val="Normal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с. Песчаное, ул. Верхний Городок, д.34</w:t>
      </w:r>
    </w:p>
    <w:tbl>
      <w:tblPr>
        <w:tblStyle w:val="aa"/>
        <w:tblW w:w="6204" w:type="dxa"/>
        <w:jc w:val="left"/>
        <w:tblInd w:w="115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3368"/>
        <w:gridCol w:w="2835"/>
      </w:tblGrid>
      <w:tr>
        <w:trPr/>
        <w:tc>
          <w:tcPr>
            <w:tcW w:w="33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Объект</w:t>
            </w:r>
          </w:p>
        </w:tc>
        <w:tc>
          <w:tcPr>
            <w:tcW w:w="283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Год постройки</w:t>
            </w:r>
          </w:p>
        </w:tc>
      </w:tr>
      <w:tr>
        <w:trPr/>
        <w:tc>
          <w:tcPr>
            <w:tcW w:w="33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1-ый корпус</w:t>
            </w:r>
          </w:p>
        </w:tc>
        <w:tc>
          <w:tcPr>
            <w:tcW w:w="283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  <w:tr>
        <w:trPr/>
        <w:tc>
          <w:tcPr>
            <w:tcW w:w="33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2-ой корпус</w:t>
            </w:r>
          </w:p>
        </w:tc>
        <w:tc>
          <w:tcPr>
            <w:tcW w:w="283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  <w:tr>
        <w:trPr/>
        <w:tc>
          <w:tcPr>
            <w:tcW w:w="336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3-ий корпус</w:t>
            </w:r>
          </w:p>
        </w:tc>
        <w:tc>
          <w:tcPr>
            <w:tcW w:w="2835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 w:val="false"/>
                <w:bCs w:val="false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 w:val="false"/>
                <w:bCs w:val="false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  <w:tr>
        <w:trPr/>
        <w:tc>
          <w:tcPr>
            <w:tcW w:w="336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4-ый корпус</w:t>
            </w:r>
          </w:p>
        </w:tc>
        <w:tc>
          <w:tcPr>
            <w:tcW w:w="2835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 w:val="false"/>
                <w:bCs w:val="false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 w:val="false"/>
                <w:bCs w:val="false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  <w:tr>
        <w:trPr/>
        <w:tc>
          <w:tcPr>
            <w:tcW w:w="33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Столовая</w:t>
            </w:r>
          </w:p>
        </w:tc>
        <w:tc>
          <w:tcPr>
            <w:tcW w:w="283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  <w:tr>
        <w:trPr/>
        <w:tc>
          <w:tcPr>
            <w:tcW w:w="3368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Медпункт</w:t>
            </w:r>
          </w:p>
        </w:tc>
        <w:tc>
          <w:tcPr>
            <w:tcW w:w="2835" w:type="dxa"/>
            <w:tcBorders/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1969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  <w:t xml:space="preserve">             </w:t>
      </w:r>
      <w:r>
        <w:rPr>
          <w:rFonts w:cs="Times New Roman" w:ascii="Times New Roman" w:hAnsi="Times New Roman"/>
          <w:b/>
          <w:bCs/>
          <w:sz w:val="28"/>
          <w:szCs w:val="28"/>
        </w:rPr>
        <w:t>с. Песчаное, ул. Набережная, д.9</w:t>
      </w:r>
    </w:p>
    <w:tbl>
      <w:tblPr>
        <w:tblW w:w="6124" w:type="dxa"/>
        <w:jc w:val="left"/>
        <w:tblInd w:w="1169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308"/>
        <w:gridCol w:w="2815"/>
      </w:tblGrid>
      <w:tr>
        <w:trPr>
          <w:trHeight w:val="450" w:hRule="atLeast"/>
        </w:trPr>
        <w:tc>
          <w:tcPr>
            <w:tcW w:w="33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Объект</w:t>
            </w: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b/>
                <w:kern w:val="0"/>
                <w:sz w:val="28"/>
                <w:szCs w:val="28"/>
                <w:lang w:val="ru-RU" w:eastAsia="ru-RU" w:bidi="ar-SA"/>
              </w:rPr>
              <w:t>Год постройки</w:t>
            </w:r>
          </w:p>
        </w:tc>
      </w:tr>
      <w:tr>
        <w:trPr/>
        <w:tc>
          <w:tcPr>
            <w:tcW w:w="330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1-ый корпус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" w:cs="Times New Roman" w:eastAsiaTheme="minorEastAsia"/>
                <w:color w:val="auto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" w:cs="Times New Roman" w:ascii="Times New Roman" w:hAnsi="Times New Roman" w:eastAsiaTheme="minorEastAsia"/>
                <w:color w:val="auto"/>
                <w:kern w:val="0"/>
                <w:sz w:val="28"/>
                <w:szCs w:val="28"/>
                <w:lang w:val="ru-RU" w:eastAsia="ru-RU" w:bidi="ar-SA"/>
              </w:rPr>
              <w:t>1979</w:t>
            </w:r>
          </w:p>
        </w:tc>
      </w:tr>
      <w:tr>
        <w:trPr/>
        <w:tc>
          <w:tcPr>
            <w:tcW w:w="330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2-ой корпус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user2"/>
              <w:widowControl w:val="false"/>
              <w:spacing w:before="0" w:after="0"/>
              <w:rPr/>
            </w:pPr>
            <w:r>
              <w:rPr/>
              <w:t xml:space="preserve">                      </w:t>
            </w: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1979</w:t>
            </w:r>
          </w:p>
        </w:tc>
      </w:tr>
      <w:tr>
        <w:trPr/>
        <w:tc>
          <w:tcPr>
            <w:tcW w:w="330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Столовая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</w:t>
            </w:r>
            <w:r>
              <w:rPr>
                <w:rFonts w:eastAsia="" w:cs="Times New Roman" w:ascii="Times New Roman" w:hAnsi="Times New Roman"/>
                <w:b w:val="false"/>
                <w:bCs w:val="false"/>
                <w:kern w:val="0"/>
                <w:sz w:val="28"/>
                <w:szCs w:val="28"/>
                <w:lang w:val="ru-RU" w:eastAsia="ru-RU" w:bidi="ar-SA"/>
              </w:rPr>
              <w:t>79</w:t>
            </w:r>
          </w:p>
        </w:tc>
      </w:tr>
      <w:tr>
        <w:trPr/>
        <w:tc>
          <w:tcPr>
            <w:tcW w:w="330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Медпункт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eastAsia="" w:cs="Times New Roman" w:ascii="Times New Roman" w:hAnsi="Times New Roman"/>
                <w:kern w:val="0"/>
                <w:sz w:val="28"/>
                <w:szCs w:val="28"/>
                <w:lang w:val="ru-RU" w:eastAsia="ru-RU" w:bidi="ar-SA"/>
              </w:rPr>
              <w:t>19</w:t>
            </w:r>
            <w:r>
              <w:rPr>
                <w:rFonts w:eastAsia="" w:cs="Times New Roman" w:ascii="Times New Roman" w:hAnsi="Times New Roman"/>
                <w:b w:val="false"/>
                <w:bCs w:val="false"/>
                <w:kern w:val="0"/>
                <w:sz w:val="28"/>
                <w:szCs w:val="28"/>
                <w:lang w:val="ru-RU" w:eastAsia="ru-RU" w:bidi="ar-SA"/>
              </w:rPr>
              <w:t>79</w:t>
            </w:r>
          </w:p>
        </w:tc>
      </w:tr>
    </w:tbl>
    <w:p>
      <w:pPr>
        <w:pStyle w:val="Normal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Территория оздоровительно-спортивного комплекса «Дельфин»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Находится в Бахчисарайском районе Республики Крым (в 50км от   г.Симферополя и в 35 км от г. Севастополя). Лагерь расположен на двух территориях. Территория, расположенная по адресу:  Бахчисарайский район, с. Песчаное, ул. Верхний Городок, д. 34 - площадь 14 га располагается в 2.5 км от побережья Черного моря. На территории лагеря произрастает много разновидностей хвойных деревьев, цветов, кустарников. Также, территория включает в себя 4 каменных 2-х этажных спальных корпуса, здание столовой, медпункта, кино-концертный зал на 620 мест, костровую площадку, летнюю эстраду, оборудованный танцпол, футбольное поле, мини футбольное поле с искусственным покрытием, дом детского творчества, открытый плавательный бассейн, волейбольную площадку, спортивный городок, игровую площадку для детей младшего возраста, беседки- отрядные места, собственный оборудованный пляж. Территория, расположенная по адресу: Бахчисарайский район, с. Песчаное, ул.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Набережная</w:t>
      </w:r>
      <w:r>
        <w:rPr>
          <w:rFonts w:cs="Times New Roman" w:ascii="Times New Roman" w:hAnsi="Times New Roman"/>
          <w:sz w:val="28"/>
          <w:szCs w:val="28"/>
        </w:rPr>
        <w:t xml:space="preserve">, д. 9 — площадь 7 га, расположена в 50 км от береговой зоны Черного моря. На территории расположено два 3-х этажных здания спальных корпусов, здание столовой, медпункт, футбольное поле, волейбольно-баскетбольная площадка, спортивный городок, игровые комнаты и комнаты для проведения кружковой работы, отрядные места, имеется собственный оборудованный пляж. Территория лагеря ограждена и обеспечена видеонаблюдением по всему периметру, освещена периметральной сигнализацией и круглосуточно находится под охраной. Характер развития и степень оздоровления детей в значительной мере зависит от уровня профессионализма, компетентности кадров, которые организуют жизнедеятельность ребенка в лагере в течение всей смены и каждого дня. Одно из главных направлений руководства лагеря - обеспечение оздоровительного объекта только высококвалифици-рованными специалистами.   </w:t>
      </w:r>
    </w:p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Условия проживания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Отдых для детей в </w:t>
      </w:r>
      <w:r>
        <w:rPr>
          <w:rFonts w:cs="Times New Roman" w:ascii="Times New Roman" w:hAnsi="Times New Roman"/>
          <w:b w:val="false"/>
          <w:bCs w:val="false"/>
          <w:sz w:val="28"/>
          <w:szCs w:val="28"/>
        </w:rPr>
        <w:t>оздоровительно-спортивном комплексе «Дельфин»</w:t>
      </w:r>
      <w:r>
        <w:rPr>
          <w:rFonts w:cs="Times New Roman" w:ascii="Times New Roman" w:hAnsi="Times New Roman"/>
          <w:sz w:val="28"/>
          <w:szCs w:val="28"/>
        </w:rPr>
        <w:t xml:space="preserve"> начинается с уютных номеров, которые вмещают в себя 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864</w:t>
      </w:r>
      <w:r>
        <w:rPr>
          <w:rFonts w:cs="Times New Roman" w:ascii="Times New Roman" w:hAnsi="Times New Roman"/>
          <w:sz w:val="28"/>
          <w:szCs w:val="28"/>
        </w:rPr>
        <w:t xml:space="preserve"> отдыхающих.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Оздоровительно- спортивный комплекс «Дельфин» состоит их двух территорий:</w:t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1. Территория расположенная по адресу </w:t>
      </w:r>
      <w:r>
        <w:rPr>
          <w:rFonts w:cs="Times New Roman" w:ascii="Times New Roman" w:hAnsi="Times New Roman"/>
          <w:b/>
          <w:bCs/>
          <w:sz w:val="28"/>
          <w:szCs w:val="28"/>
        </w:rPr>
        <w:t>Бахчисарайский район, с. Песчаное, на ул. Набережная, д.9</w:t>
      </w:r>
      <w:r>
        <w:rPr>
          <w:rFonts w:cs="Times New Roman" w:ascii="Times New Roman" w:hAnsi="Times New Roman"/>
          <w:b w:val="false"/>
          <w:bCs w:val="false"/>
          <w:sz w:val="28"/>
          <w:szCs w:val="28"/>
        </w:rPr>
        <w:t>,</w:t>
      </w:r>
      <w:r>
        <w:rPr>
          <w:rFonts w:cs="Times New Roman" w:ascii="Times New Roman" w:hAnsi="Times New Roman"/>
          <w:sz w:val="28"/>
          <w:szCs w:val="28"/>
        </w:rPr>
        <w:t xml:space="preserve"> включает два идентичных спальных корпуса, расположенных в 50 м от пляжной зоны. В уютных комнатах размещение четырехместное. Спальные комнаты оборудованы 2-х ярусными кроватями, тумбочками, полками для вещей, столом и стульями. В каждой комнате — балкон с видом на море. Удобства (умывальники, туалеты, душевые) на этаже. Имеется отдельно стоящее здание душевого павильона. Дети обеспечиваются постельным бельем, полотенцами. Обмен белья происходит раз в 7 дней и по мере необходимости. Горячая и холодная вода- постоянно.</w:t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2. Территория расположенная по адресу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Бахчисарайский район, с. Песчаное, на ул. </w:t>
      </w: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>Верхний Городок</w:t>
      </w:r>
      <w:r>
        <w:rPr>
          <w:rFonts w:cs="Times New Roman" w:ascii="Times New Roman" w:hAnsi="Times New Roman"/>
          <w:b/>
          <w:bCs/>
          <w:sz w:val="28"/>
          <w:szCs w:val="28"/>
        </w:rPr>
        <w:t>, д. 34</w:t>
      </w:r>
      <w:r>
        <w:rPr>
          <w:rFonts w:cs="Times New Roman" w:ascii="Times New Roman" w:hAnsi="Times New Roman"/>
          <w:b w:val="false"/>
          <w:bCs w:val="false"/>
          <w:sz w:val="28"/>
          <w:szCs w:val="28"/>
        </w:rPr>
        <w:t>,</w:t>
      </w:r>
      <w:r>
        <w:rPr>
          <w:rFonts w:cs="Times New Roman" w:ascii="Times New Roman" w:hAnsi="Times New Roman"/>
          <w:sz w:val="28"/>
          <w:szCs w:val="28"/>
        </w:rPr>
        <w:t xml:space="preserve"> включает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четыре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каменных</w:t>
      </w:r>
      <w:r>
        <w:rPr>
          <w:rFonts w:cs="Times New Roman" w:ascii="Times New Roman" w:hAnsi="Times New Roman"/>
          <w:sz w:val="28"/>
          <w:szCs w:val="28"/>
        </w:rPr>
        <w:t xml:space="preserve">  2-х этажных спальных  корпуса. В уютных комнатах  шестиместное размещение. Спальные комнаты оборудованы 2-х ярусными кроватями, тумбочками, шкафами, полками для вещей, столом и стульями.  В корпусах № 1 и №4 удобства (умывальники, туалеты, душевые) на этаже, в корпусах № 2 и №3 удобства (умывальник и туалет) в каждом номере, душевые на этаже. Имеется отдельно стоящее здание душевого павильона. Дети обеспечиваются постельным бельем, полотенцами. Обмен белья происходит раз в 7 дней и по мере необходимости. Горячая и холодная вода- постоянно.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Питание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Прием пищи  осуществляется в отдельно стоящем здании столовой, обеденные залы кондиционированы.  Пяти разовое питание происходит в соответствии с 14-дневн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ым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 xml:space="preserve">перспективным </w:t>
      </w:r>
      <w:r>
        <w:rPr>
          <w:rFonts w:cs="Times New Roman" w:ascii="Times New Roman" w:hAnsi="Times New Roman"/>
          <w:sz w:val="28"/>
          <w:szCs w:val="28"/>
        </w:rPr>
        <w:t xml:space="preserve">меню,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составлено</w:t>
      </w:r>
      <w:r>
        <w:rPr>
          <w:rFonts w:cs="Times New Roman" w:ascii="Times New Roman" w:hAnsi="Times New Roman"/>
          <w:sz w:val="28"/>
          <w:szCs w:val="28"/>
        </w:rPr>
        <w:t xml:space="preserve"> в соответствии с требованиями СанПина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и включает в себя разнообразные блюда, богато фруктами, овощами,  крымскими соками, по- домашнему вкусной  выпечкой и т.д. Качество готовых блюд контролирует бракеражная комиссия. Родители могут ознакомится с меню на сайте оздоровительного объекта.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Активный отдых на свежем воздухе, посещение моря и бассейна, наполненный событиями досуг в детском </w:t>
      </w:r>
      <w:r>
        <w:rPr>
          <w:rFonts w:cs="Times New Roman" w:ascii="Times New Roman" w:hAnsi="Times New Roman"/>
          <w:b w:val="false"/>
          <w:bCs w:val="false"/>
          <w:sz w:val="28"/>
          <w:szCs w:val="28"/>
        </w:rPr>
        <w:t>оздоровительно-спортивном комплексе «Дельфин»</w:t>
      </w:r>
      <w:r>
        <w:rPr>
          <w:rFonts w:cs="Times New Roman" w:ascii="Times New Roman" w:hAnsi="Times New Roman"/>
          <w:sz w:val="28"/>
          <w:szCs w:val="28"/>
        </w:rPr>
        <w:t xml:space="preserve"> требуют восполнения затраченных калорий.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594042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594042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9353" w:type="dxa"/>
        <w:jc w:val="left"/>
        <w:tblInd w:w="73" w:type="dxa"/>
        <w:tblLayout w:type="fixed"/>
        <w:tblCellMar>
          <w:top w:w="80" w:type="dxa"/>
          <w:left w:w="88" w:type="dxa"/>
          <w:bottom w:w="80" w:type="dxa"/>
          <w:right w:w="88" w:type="dxa"/>
        </w:tblCellMar>
        <w:tblLook w:val="04a0"/>
      </w:tblPr>
      <w:tblGrid>
        <w:gridCol w:w="9123"/>
        <w:gridCol w:w="229"/>
      </w:tblGrid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spacing w:lineRule="atLeast" w:line="240" w:before="0" w:after="200"/>
              <w:ind w:hanging="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Соблюдается  питьевой режим.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3856" w:leader="none"/>
              </w:tabs>
              <w:suppressAutoHyphens w:val="true"/>
              <w:bidi w:val="0"/>
              <w:spacing w:lineRule="atLeast" w:line="240" w:before="0" w:after="200"/>
              <w:ind w:firstLine="567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</w:tr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</w:tr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</w:tr>
      <w:tr>
        <w:trPr>
          <w:trHeight w:val="53" w:hRule="atLeast"/>
        </w:trPr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</w:tr>
      <w:tr>
        <w:trPr>
          <w:trHeight w:val="97" w:hRule="atLeast"/>
        </w:trPr>
        <w:tc>
          <w:tcPr>
            <w:tcW w:w="9123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</w:rPr>
            </w:r>
          </w:p>
        </w:tc>
        <w:tc>
          <w:tcPr>
            <w:tcW w:w="229" w:type="dxa"/>
            <w:tcBorders/>
            <w:shd w:color="auto" w:fill="FFFFFF" w:val="clear"/>
            <w:vAlign w:val="center"/>
          </w:tcPr>
          <w:p>
            <w:pPr>
              <w:pStyle w:val="Normal"/>
              <w:widowControl w:val="false"/>
              <w:spacing w:lineRule="atLeast" w:line="159" w:before="0" w:after="0"/>
              <w:jc w:val="center"/>
              <w:rPr>
                <w:rFonts w:ascii="Arial" w:hAnsi="Arial" w:eastAsia="Times New Roman" w:cs="Arial"/>
                <w:color w:val="666666"/>
                <w:sz w:val="11"/>
                <w:szCs w:val="11"/>
              </w:rPr>
            </w:pPr>
            <w:r>
              <w:rPr>
                <w:rFonts w:eastAsia="Times New Roman" w:cs="Arial" w:ascii="Arial" w:hAnsi="Arial"/>
                <w:color w:val="666666"/>
                <w:sz w:val="11"/>
                <w:szCs w:val="11"/>
              </w:rPr>
            </w:r>
          </w:p>
        </w:tc>
      </w:tr>
    </w:tbl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Организация досуга</w:t>
      </w:r>
    </w:p>
    <w:p>
      <w:pPr>
        <w:pStyle w:val="Normal"/>
        <w:spacing w:lineRule="atLeast" w:line="240" w:before="0" w:after="2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Территория по адресу с. Песчаное, ул. Набережная, д. 9</w:t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1. Летняя эстрада</w:t>
      </w:r>
      <w:r>
        <w:rPr>
          <w:rFonts w:cs="Times New Roman" w:ascii="Times New Roman" w:hAnsi="Times New Roman"/>
          <w:sz w:val="28"/>
          <w:szCs w:val="28"/>
        </w:rPr>
        <w:t xml:space="preserve"> — лавки расположены амфитеатром, вместимость 500 человек. На эстрадной площадке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проходят конкурсы, фестивали, традиционные вечерние мероприятия.</w:t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b/>
          <w:bCs/>
        </w:rPr>
      </w:pP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 xml:space="preserve">2. Танцпол- 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используется для проведения открытия и закрытия смен, дискотеки, просмотр кинофильмов. Оборудован бульварными лавками и скамейками, вместимость  500 человек.</w:t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b/>
          <w:bCs/>
        </w:rPr>
      </w:pP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>3.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 xml:space="preserve"> </w:t>
      </w: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 xml:space="preserve">Игровые комнаты и комнаты для проведения кружков и мастер классов- 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 xml:space="preserve">оборудованы удобными столами, стульями. В каждой комнате есть умывальники и туалеты. Используются для работы кружков, творческих мастерских, шахматно-шашечных турниров. 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Материально- техническая база 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ОСК «Дельфин»</w:t>
      </w:r>
      <w:r>
        <w:rPr>
          <w:rFonts w:cs="Times New Roman" w:ascii="Times New Roman" w:hAnsi="Times New Roman"/>
          <w:sz w:val="28"/>
          <w:szCs w:val="28"/>
        </w:rPr>
        <w:t xml:space="preserve">,  оснащенность музыкальным оборудованием, оборудованием для показа кинофильмов, наличие разнообразного реквизита,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обеспечение высоко</w:t>
      </w:r>
      <w:r>
        <w:rPr>
          <w:rFonts w:cs="Times New Roman" w:ascii="Times New Roman" w:hAnsi="Times New Roman"/>
          <w:sz w:val="28"/>
          <w:szCs w:val="28"/>
        </w:rPr>
        <w:t xml:space="preserve">профессиональными  кадрами, которые полностью посвящают  себя детям, позволяют каждому ребенку раскрыть свои способности и таланты. 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/>
          <w:bCs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В ОСК «Дельфин» работают :</w:t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вокально-хоровая студия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(каждый отряд ежедневно участвует в   занятиях студии, за смену дети изучают  песни различной тематики, конечная цель - участие в общелагерном конкурсном фестивале песни «Битва хоров»)</w:t>
      </w:r>
    </w:p>
    <w:p>
      <w:pPr>
        <w:pStyle w:val="Normal"/>
        <w:numPr>
          <w:ilvl w:val="0"/>
          <w:numId w:val="0"/>
        </w:numPr>
        <w:spacing w:lineRule="atLeast" w:line="240" w:before="0" w:after="200"/>
        <w:ind w:hanging="0" w:left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хореографическая  студия «Танцевальный батл»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 xml:space="preserve"> (каждый отряд ежедневно участвует в   занятиях студии, изучают различные танцы, участвуют в постановках танцев к конкурсу  «Вечер вальса», флешмобов, танцевальных фестивалей и т.д.)</w:t>
      </w:r>
    </w:p>
    <w:p>
      <w:pPr>
        <w:pStyle w:val="Normal"/>
        <w:numPr>
          <w:ilvl w:val="0"/>
          <w:numId w:val="0"/>
        </w:numPr>
        <w:spacing w:lineRule="atLeast" w:line="240" w:before="0" w:after="0"/>
        <w:ind w:hanging="0" w:left="720"/>
        <w:contextualSpacing/>
        <w:jc w:val="both"/>
        <w:rPr>
          <w:i/>
          <w:i/>
          <w:iCs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гончарная мастерская «Эллада»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(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под руководством опытного педагога учатся работать на гончарном круге, делают поделки из глины  на выставки и в подарок родителям )</w:t>
      </w:r>
    </w:p>
    <w:p>
      <w:pPr>
        <w:pStyle w:val="ListParagraph"/>
        <w:numPr>
          <w:ilvl w:val="0"/>
          <w:numId w:val="0"/>
        </w:numPr>
        <w:ind w:hanging="0" w:left="720"/>
        <w:jc w:val="both"/>
        <w:rPr>
          <w:i/>
          <w:i/>
          <w:iCs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изо студия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 xml:space="preserve"> «Волшебная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палитра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»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( 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п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од руководством опытного педагога учатся основам художественного мастерства, свои представляют на  общелагерную  выставку, отправляют свои рисунки участникам СВО</w:t>
      </w:r>
      <w:r>
        <w:rPr>
          <w:rFonts w:cs="Times New Roman" w:ascii="Times New Roman" w:hAnsi="Times New Roman"/>
          <w:i w:val="false"/>
          <w:iCs w:val="false"/>
          <w:sz w:val="28"/>
          <w:szCs w:val="28"/>
        </w:rPr>
        <w:t>)</w:t>
      </w:r>
    </w:p>
    <w:p>
      <w:pPr>
        <w:pStyle w:val="ListParagraph"/>
        <w:numPr>
          <w:ilvl w:val="0"/>
          <w:numId w:val="0"/>
        </w:numPr>
        <w:spacing w:before="0" w:after="200"/>
        <w:ind w:hanging="0" w:left="720"/>
        <w:contextualSpacing/>
        <w:jc w:val="both"/>
        <w:rPr>
          <w:i/>
          <w:i/>
          <w:iCs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«Шахматный Олимп»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(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u w:val="none"/>
          <w:lang w:val="ru-RU" w:eastAsia="ru-RU" w:bidi="ar-SA"/>
        </w:rPr>
        <w:t>под руководством опытного педагога дети изучают основы шахматного искусства, развивают умение и навыки игры в шахматы, участвуют в шахматных турнирах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)</w:t>
      </w:r>
    </w:p>
    <w:p>
      <w:pPr>
        <w:pStyle w:val="ListParagraph"/>
        <w:numPr>
          <w:ilvl w:val="0"/>
          <w:numId w:val="0"/>
        </w:numPr>
        <w:spacing w:before="0" w:after="200"/>
        <w:ind w:hanging="0" w:left="720"/>
        <w:contextualSpacing/>
        <w:jc w:val="both"/>
        <w:rPr/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студия «Декоративной техники ассамбляж»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(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под руководством опытного педагога изучают технику визуального искусства, учатся создавать мини- панно и крупные формы. Техника декоративно-прикладного искусства,</w:t>
      </w:r>
      <w:r>
        <w:rPr>
          <w:rFonts w:eastAsia="" w:cs="Times New Roman" w:ascii="Times New Roman" w:hAnsi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  <w:t xml:space="preserve"> предполагает создание рельефных изображений путем наклеивания на плоскую основу объемных деталей или предметов</w:t>
      </w:r>
    </w:p>
    <w:p>
      <w:pPr>
        <w:pStyle w:val="ListParagraph"/>
        <w:spacing w:before="0" w:after="200"/>
        <w:ind w:hanging="0" w:left="720"/>
        <w:contextualSpacing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520700</wp:posOffset>
            </wp:positionH>
            <wp:positionV relativeFrom="paragraph">
              <wp:posOffset>19685</wp:posOffset>
            </wp:positionV>
            <wp:extent cx="4570730" cy="4570730"/>
            <wp:effectExtent l="0" t="0" r="0" b="0"/>
            <wp:wrapSquare wrapText="largest"/>
            <wp:docPr id="3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730" cy="457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461010</wp:posOffset>
            </wp:positionH>
            <wp:positionV relativeFrom="paragraph">
              <wp:posOffset>153035</wp:posOffset>
            </wp:positionV>
            <wp:extent cx="4652645" cy="4652645"/>
            <wp:effectExtent l="0" t="0" r="0" b="0"/>
            <wp:wrapSquare wrapText="largest"/>
            <wp:docPr id="4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645" cy="465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/>
          <w:b/>
          <w:color w:val="000000"/>
          <w:kern w:val="0"/>
          <w:sz w:val="28"/>
          <w:szCs w:val="28"/>
          <w:lang w:val="ru-RU" w:eastAsia="ru-RU" w:bidi="ar-SA"/>
        </w:rPr>
        <w:t>4</w:t>
      </w:r>
      <w:r>
        <w:rPr>
          <w:rFonts w:cs="Times New Roman" w:ascii="Times New Roman" w:hAnsi="Times New Roman"/>
          <w:b/>
          <w:color w:val="000000"/>
          <w:sz w:val="28"/>
          <w:szCs w:val="28"/>
        </w:rPr>
        <w:t>.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Спортивная жизнь ОСК «Дельфин»</w:t>
      </w: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 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30"/>
          <w:szCs w:val="30"/>
        </w:rPr>
        <w:t xml:space="preserve">- </w:t>
      </w:r>
      <w:r>
        <w:rPr>
          <w:rFonts w:ascii="Times New Roman" w:hAnsi="Times New Roman"/>
          <w:b/>
          <w:bCs/>
          <w:sz w:val="28"/>
          <w:szCs w:val="28"/>
        </w:rPr>
        <w:t>мини футбольное поле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с покрытием искусственная трава (713кв.м), оборудовано футбольными воротами, трибунами для болельщиков.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Используется для проведения занятий в футбольного клуба, </w:t>
      </w: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 xml:space="preserve">под руководством опытного инструктора по физической культуре и спорту (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в </w:t>
      </w:r>
      <w:r>
        <w:rPr>
          <w:rFonts w:eastAsia="" w:cs="" w:ascii="Times New Roman" w:hAnsi="Times New Roman" w:cstheme="minorBidi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занятиях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клуба ежедневно принимает участие каждый отряд),</w:t>
      </w:r>
      <w:r>
        <w:rPr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</w:rPr>
        <w:t>проводится чемпионат лагеря по футболу, соревнования в рамках малых олимпийских игр, эстафеты и т.д.;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- </w:t>
      </w:r>
      <w:r>
        <w:rPr>
          <w:rFonts w:ascii="Times New Roman" w:hAnsi="Times New Roman"/>
          <w:b/>
          <w:bCs/>
          <w:sz w:val="28"/>
          <w:szCs w:val="28"/>
        </w:rPr>
        <w:t xml:space="preserve">волейбольно-баскетбольная площадка </w:t>
      </w:r>
      <w:r>
        <w:rPr>
          <w:rFonts w:ascii="Times New Roman" w:hAnsi="Times New Roman"/>
          <w:b w:val="false"/>
          <w:bCs w:val="false"/>
          <w:sz w:val="28"/>
          <w:szCs w:val="28"/>
        </w:rPr>
        <w:t>с искусственным покрытием (850 кв.м), имеет ограждение.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Используется для проведения занятий  </w:t>
      </w:r>
      <w:r>
        <w:rPr>
          <w:rFonts w:eastAsia="" w:cs="" w:ascii="Times New Roman" w:hAnsi="Times New Roman" w:cstheme="minorBidi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волейбольного и баскетбольного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клубов. П</w:t>
      </w: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од руководством опытного инструктора по физической культуре и спорта отдыхающие дети обучаются правилам и ведению игры в волейбол и баскетбол. Площадка используется для проведения соревнований по волейболу, баскетболу и других спортивных мероприятиях в рамках малых Олимпийских игр.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- открытый тренажерный комплекс с резиновым покрытием, рассчитанный на тренировку различных групп мышц детей. Занятия проводятся под руководством инструктора по физической культуре и спорту.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476250</wp:posOffset>
            </wp:positionH>
            <wp:positionV relativeFrom="paragraph">
              <wp:posOffset>100330</wp:posOffset>
            </wp:positionV>
            <wp:extent cx="4805045" cy="3728720"/>
            <wp:effectExtent l="0" t="0" r="0" b="0"/>
            <wp:wrapSquare wrapText="largest"/>
            <wp:docPr id="5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372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eastAsia="" w:cs="Times New Roman" w:eastAsiaTheme="minorEastAsia"/>
          <w:i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448310</wp:posOffset>
            </wp:positionH>
            <wp:positionV relativeFrom="paragraph">
              <wp:posOffset>78740</wp:posOffset>
            </wp:positionV>
            <wp:extent cx="4681220" cy="4650740"/>
            <wp:effectExtent l="0" t="0" r="0" b="0"/>
            <wp:wrapSquare wrapText="largest"/>
            <wp:docPr id="6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465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539115</wp:posOffset>
            </wp:positionH>
            <wp:positionV relativeFrom="paragraph">
              <wp:posOffset>91440</wp:posOffset>
            </wp:positionV>
            <wp:extent cx="4711065" cy="4335780"/>
            <wp:effectExtent l="0" t="0" r="0" b="0"/>
            <wp:wrapSquare wrapText="largest"/>
            <wp:docPr id="7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4335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color w:val="000000"/>
          <w:sz w:val="28"/>
          <w:szCs w:val="28"/>
        </w:rPr>
        <w:t xml:space="preserve">Территория по адресу с. Песчаное, ул. </w:t>
      </w:r>
      <w:r>
        <w:rPr>
          <w:rFonts w:eastAsia="" w:cs="Times New Roman" w:ascii="Times New Roman" w:hAnsi="Times New Roman"/>
          <w:b/>
          <w:color w:val="000000"/>
          <w:kern w:val="0"/>
          <w:sz w:val="28"/>
          <w:szCs w:val="28"/>
          <w:lang w:val="ru-RU" w:eastAsia="ru-RU" w:bidi="ar-SA"/>
        </w:rPr>
        <w:t>Верхний Городок</w:t>
      </w:r>
      <w:r>
        <w:rPr>
          <w:rFonts w:cs="Times New Roman" w:ascii="Times New Roman" w:hAnsi="Times New Roman"/>
          <w:b/>
          <w:color w:val="000000"/>
          <w:sz w:val="28"/>
          <w:szCs w:val="28"/>
        </w:rPr>
        <w:t xml:space="preserve">, д. </w:t>
      </w:r>
      <w:r>
        <w:rPr>
          <w:rFonts w:eastAsia="" w:cs="Times New Roman" w:ascii="Times New Roman" w:hAnsi="Times New Roman"/>
          <w:b/>
          <w:color w:val="000000"/>
          <w:kern w:val="0"/>
          <w:sz w:val="28"/>
          <w:szCs w:val="28"/>
          <w:lang w:val="ru-RU" w:eastAsia="ru-RU" w:bidi="ar-SA"/>
        </w:rPr>
        <w:t>34</w:t>
      </w:r>
    </w:p>
    <w:p>
      <w:pPr>
        <w:pStyle w:val="Normal"/>
        <w:spacing w:lineRule="atLeast" w:line="240" w:before="0" w:after="200"/>
        <w:ind w:hanging="0"/>
        <w:contextualSpacing/>
        <w:jc w:val="both"/>
        <w:rPr/>
      </w:pPr>
      <w:r>
        <w:rPr/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1. Летняя эстрада</w:t>
      </w:r>
      <w:r>
        <w:rPr>
          <w:rFonts w:cs="Times New Roman" w:ascii="Times New Roman" w:hAnsi="Times New Roman"/>
          <w:sz w:val="28"/>
          <w:szCs w:val="28"/>
        </w:rPr>
        <w:t xml:space="preserve"> — лавки расположены амфитеатром, вместимость 600 человек. На эстрадной площадке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проходят конкурсы, фестивали, традиционные вечерние мероприятия.</w:t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b/>
          <w:bCs/>
        </w:rPr>
      </w:pP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 xml:space="preserve">2. Крытый танцпол- 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 xml:space="preserve"> Оборудован  лавками, имеется сцена. Используется для проведения общелагерных  мероприятий, проведение дискотек, просмотра кинофильмов.</w:t>
      </w:r>
    </w:p>
    <w:p>
      <w:pPr>
        <w:pStyle w:val="Normal"/>
        <w:widowControl/>
        <w:suppressAutoHyphens w:val="true"/>
        <w:bidi w:val="0"/>
        <w:spacing w:lineRule="atLeast" w:line="240" w:before="0" w:after="200"/>
        <w:ind w:firstLine="567" w:left="0" w:right="0"/>
        <w:contextualSpacing/>
        <w:jc w:val="both"/>
        <w:rPr>
          <w:b/>
          <w:bCs/>
        </w:rPr>
      </w:pP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>3.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 xml:space="preserve"> </w:t>
      </w:r>
      <w:r>
        <w:rPr>
          <w:rFonts w:eastAsia="" w:cs="Times New Roman" w:ascii="Times New Roman" w:hAnsi="Times New Roman" w:eastAsiaTheme="minorEastAsia"/>
          <w:b/>
          <w:bCs/>
          <w:color w:val="auto"/>
          <w:kern w:val="0"/>
          <w:sz w:val="28"/>
          <w:szCs w:val="28"/>
          <w:lang w:val="ru-RU" w:eastAsia="ru-RU" w:bidi="ar-SA"/>
        </w:rPr>
        <w:t xml:space="preserve">Дом детского творчества — </w:t>
      </w:r>
      <w:r>
        <w:rPr>
          <w:rFonts w:eastAsia="" w:cs="Times New Roman" w:ascii="Times New Roman" w:hAnsi="Times New Roman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используются кабинеты для проведения кружков и мастер классов, которые оборудованы удобными столами, стульями.</w:t>
      </w:r>
    </w:p>
    <w:p>
      <w:pPr>
        <w:pStyle w:val="Normal"/>
        <w:spacing w:lineRule="atLeast" w:line="240" w:before="0" w:after="200"/>
        <w:ind w:hanging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-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вокально-хоровая студия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(каждый отряд ежедневно участвует в   занятиях студии, за смену дети изучают  песни различной тематики, конечная цель - участие в общелагерном конкурсном фестивале песни «Битва хоров»)</w:t>
      </w:r>
    </w:p>
    <w:p>
      <w:pPr>
        <w:pStyle w:val="Normal"/>
        <w:numPr>
          <w:ilvl w:val="0"/>
          <w:numId w:val="0"/>
        </w:numPr>
        <w:spacing w:lineRule="atLeast" w:line="240" w:before="0" w:after="200"/>
        <w:ind w:hanging="0" w:left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хореографическая  студия «Танцевальный батл»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 xml:space="preserve"> (каждый отряд ежедневно участвует в   занятиях студии, изучают различные танцы, участвуют в постановках танцев к конкурсу  «Вечер вальса», флешмобов, танцевальных фестивалей и т.д.</w:t>
      </w:r>
    </w:p>
    <w:p>
      <w:pPr>
        <w:pStyle w:val="Normal"/>
        <w:numPr>
          <w:ilvl w:val="0"/>
          <w:numId w:val="0"/>
        </w:numPr>
        <w:spacing w:lineRule="atLeast" w:line="240" w:before="0" w:after="200"/>
        <w:ind w:hanging="0" w:left="7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изо студия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 xml:space="preserve"> «Волшебная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>палитра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»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( 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п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од руководством опытного педагога учатся основам художественного мастерства, свои представляют на  общелагерную  выставку, отправляют свои рисунки участникам СВО</w:t>
      </w:r>
      <w:r>
        <w:rPr>
          <w:rFonts w:cs="Times New Roman" w:ascii="Times New Roman" w:hAnsi="Times New Roman"/>
          <w:i w:val="false"/>
          <w:iCs w:val="false"/>
          <w:sz w:val="28"/>
          <w:szCs w:val="28"/>
        </w:rPr>
        <w:t>)</w:t>
      </w:r>
    </w:p>
    <w:p>
      <w:pPr>
        <w:pStyle w:val="ListParagraph"/>
        <w:numPr>
          <w:ilvl w:val="0"/>
          <w:numId w:val="0"/>
        </w:numPr>
        <w:spacing w:before="0" w:after="200"/>
        <w:ind w:hanging="0" w:left="720"/>
        <w:contextualSpacing/>
        <w:rPr>
          <w:i/>
          <w:i/>
          <w:iCs/>
        </w:rPr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«Шахматный Олимп» 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(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u w:val="none"/>
          <w:lang w:val="ru-RU" w:eastAsia="ru-RU" w:bidi="ar-SA"/>
        </w:rPr>
        <w:t>под руководством опытного педагога дети изучают основы шахматного искусства, развивают умение и навыки игры в шахматы, участвуют в шахматных турнирах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)</w:t>
      </w:r>
    </w:p>
    <w:p>
      <w:pPr>
        <w:pStyle w:val="ListParagraph"/>
        <w:numPr>
          <w:ilvl w:val="0"/>
          <w:numId w:val="0"/>
        </w:numPr>
        <w:spacing w:before="0" w:after="200"/>
        <w:ind w:hanging="0" w:left="720"/>
        <w:contextualSpacing/>
        <w:jc w:val="both"/>
        <w:rPr/>
      </w:pP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- </w:t>
      </w:r>
      <w:r>
        <w:rPr>
          <w:rFonts w:eastAsia="" w:cs="Times New Roman" w:ascii="Times New Roman" w:hAnsi="Times New Roman" w:eastAsiaTheme="minorEastAsia"/>
          <w:b/>
          <w:bCs/>
          <w:i/>
          <w:iCs/>
          <w:color w:val="auto"/>
          <w:kern w:val="0"/>
          <w:sz w:val="28"/>
          <w:szCs w:val="28"/>
          <w:lang w:val="ru-RU" w:eastAsia="ru-RU" w:bidi="ar-SA"/>
        </w:rPr>
        <w:t xml:space="preserve">студия «Декоративной техники ассамбляж» </w:t>
      </w:r>
      <w:r>
        <w:rPr>
          <w:rFonts w:eastAsia="" w:cs="Times New Roman" w:ascii="Times New Roman" w:hAnsi="Times New Roman" w:eastAsiaTheme="minorEastAsia"/>
          <w:i/>
          <w:iCs/>
          <w:color w:val="auto"/>
          <w:kern w:val="0"/>
          <w:sz w:val="28"/>
          <w:szCs w:val="28"/>
          <w:lang w:val="ru-RU" w:eastAsia="ru-RU" w:bidi="ar-SA"/>
        </w:rPr>
        <w:t>(</w:t>
      </w:r>
      <w:r>
        <w:rPr>
          <w:rFonts w:eastAsia="" w:cs="Times New Roman" w:ascii="Times New Roman" w:hAnsi="Times New Roman" w:eastAsiaTheme="minorEastAsia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под руководством опытного педагога изучают технику визуального искусства, учатся создавать мини- панно и крупные формы. Техника декоративно-прикладного искусства,</w:t>
      </w:r>
      <w:r>
        <w:rPr>
          <w:rFonts w:eastAsia="" w:cs="Times New Roman" w:ascii="Times New Roman" w:hAnsi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  <w:t xml:space="preserve"> предполагает создание рельефных изображений путем наклеи- вания на плоскую основу объемных деталей или предметов</w:t>
      </w:r>
    </w:p>
    <w:p>
      <w:pPr>
        <w:pStyle w:val="ListParagraph"/>
        <w:numPr>
          <w:ilvl w:val="0"/>
          <w:numId w:val="0"/>
        </w:numPr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671195</wp:posOffset>
            </wp:positionH>
            <wp:positionV relativeFrom="paragraph">
              <wp:posOffset>53975</wp:posOffset>
            </wp:positionV>
            <wp:extent cx="3113405" cy="3113405"/>
            <wp:effectExtent l="0" t="0" r="0" b="0"/>
            <wp:wrapSquare wrapText="largest"/>
            <wp:docPr id="8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311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513080</wp:posOffset>
            </wp:positionH>
            <wp:positionV relativeFrom="paragraph">
              <wp:posOffset>146685</wp:posOffset>
            </wp:positionV>
            <wp:extent cx="4484370" cy="4484370"/>
            <wp:effectExtent l="0" t="0" r="0" b="0"/>
            <wp:wrapSquare wrapText="largest"/>
            <wp:docPr id="9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448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ListParagraph"/>
        <w:spacing w:before="0" w:after="200"/>
        <w:ind w:hanging="0" w:left="720"/>
        <w:contextualSpacing/>
        <w:jc w:val="both"/>
        <w:rPr>
          <w:rFonts w:ascii="Times New Roman" w:hAnsi="Times New Roman" w:eastAsia="" w:cs="Times New Roman" w:eastAsiaTheme="minorEastAsia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aps w:val="false"/>
          <w:smallCaps w:val="false"/>
          <w:color w:val="333333"/>
          <w:spacing w:val="0"/>
          <w:kern w:val="0"/>
          <w:sz w:val="28"/>
          <w:szCs w:val="28"/>
          <w:lang w:val="ru-RU" w:eastAsia="ru-RU" w:bidi="ar-SA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719455</wp:posOffset>
            </wp:positionH>
            <wp:positionV relativeFrom="paragraph">
              <wp:posOffset>133350</wp:posOffset>
            </wp:positionV>
            <wp:extent cx="3642360" cy="3642360"/>
            <wp:effectExtent l="0" t="0" r="0" b="0"/>
            <wp:wrapSquare wrapText="largest"/>
            <wp:docPr id="10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3642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" w:cs="Times New Roman" w:ascii="Times New Roman" w:hAnsi="Times New Roman"/>
          <w:b/>
          <w:color w:val="000000"/>
          <w:kern w:val="0"/>
          <w:sz w:val="28"/>
          <w:szCs w:val="28"/>
          <w:lang w:val="ru-RU" w:eastAsia="ru-RU" w:bidi="ar-SA"/>
        </w:rPr>
        <w:t>4</w:t>
      </w:r>
      <w:r>
        <w:rPr>
          <w:rFonts w:cs="Times New Roman" w:ascii="Times New Roman" w:hAnsi="Times New Roman"/>
          <w:b/>
          <w:color w:val="000000"/>
          <w:sz w:val="28"/>
          <w:szCs w:val="28"/>
        </w:rPr>
        <w:t>.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Спортивная жизнь ОСК «Дельфин»</w:t>
      </w: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 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30"/>
          <w:szCs w:val="30"/>
        </w:rPr>
        <w:t xml:space="preserve">- </w:t>
      </w:r>
      <w:r>
        <w:rPr>
          <w:rFonts w:ascii="Times New Roman" w:hAnsi="Times New Roman"/>
          <w:b/>
          <w:bCs/>
          <w:sz w:val="28"/>
          <w:szCs w:val="28"/>
        </w:rPr>
        <w:t>мини футбольное поле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с покрытием искусственная трава (</w:t>
      </w:r>
      <w:r>
        <w:rPr>
          <w:rFonts w:eastAsia="" w:cs="" w:ascii="Times New Roman" w:hAnsi="Times New Roman" w:cstheme="minorBidi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 xml:space="preserve">968 </w:t>
      </w:r>
      <w:r>
        <w:rPr>
          <w:rFonts w:ascii="Times New Roman" w:hAnsi="Times New Roman"/>
          <w:b w:val="false"/>
          <w:bCs w:val="false"/>
          <w:sz w:val="28"/>
          <w:szCs w:val="28"/>
        </w:rPr>
        <w:t>кв.м), оборудовано футбольными воротами.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Используется для проведения занятий в футбольного клуба, </w:t>
      </w: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 xml:space="preserve">под руководством опытного инструктора по физической культуре и спорта (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в </w:t>
      </w:r>
      <w:r>
        <w:rPr>
          <w:rFonts w:eastAsia="" w:cs="" w:ascii="Times New Roman" w:hAnsi="Times New Roman" w:cstheme="minorBidi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занятиях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клуба ежедневно принимает участие каждый отряд),</w:t>
      </w:r>
      <w:r>
        <w:rPr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</w:rPr>
        <w:t>проводится чемпионат лагеря по футболу, соревнования в рамках малых Олимпийских игр, эстафеты и т.д.;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 w:val="false"/>
          <w:bCs w:val="fals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- </w:t>
      </w:r>
      <w:r>
        <w:rPr>
          <w:rFonts w:ascii="Times New Roman" w:hAnsi="Times New Roman"/>
          <w:b/>
          <w:bCs/>
          <w:sz w:val="28"/>
          <w:szCs w:val="28"/>
        </w:rPr>
        <w:t xml:space="preserve">волейбольноя площадка </w:t>
      </w:r>
      <w:r>
        <w:rPr>
          <w:rFonts w:ascii="Times New Roman" w:hAnsi="Times New Roman"/>
          <w:b w:val="false"/>
          <w:bCs w:val="false"/>
          <w:sz w:val="28"/>
          <w:szCs w:val="28"/>
        </w:rPr>
        <w:t>с искусственным покрытием (180 кв.м), оборудована крытыми трибунами для болельщиков.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Используется для проведения занятий  </w:t>
      </w:r>
      <w:r>
        <w:rPr>
          <w:rFonts w:eastAsia="" w:cs="" w:ascii="Times New Roman" w:hAnsi="Times New Roman" w:cstheme="minorBidi" w:eastAsiaTheme="minorEastAsia"/>
          <w:b w:val="false"/>
          <w:bCs w:val="false"/>
          <w:color w:val="auto"/>
          <w:kern w:val="0"/>
          <w:sz w:val="28"/>
          <w:szCs w:val="28"/>
          <w:lang w:val="ru-RU" w:eastAsia="ru-RU" w:bidi="ar-SA"/>
        </w:rPr>
        <w:t>волейбольного</w:t>
      </w: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 клуба. П</w:t>
      </w: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од руководством опытного инструктора по физической культуре и спорту отдыхающие дети обучаются правилам и ведению игры в волейбол. Площадка используется для проведения соревнований по волейболу и других спортивных мероприятиях в рамках малых Олимпийских игр.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5940425"/>
            <wp:effectExtent l="0" t="0" r="0" b="0"/>
            <wp:wrapSquare wrapText="largest"/>
            <wp:docPr id="11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b/>
          <w:bCs/>
        </w:rPr>
      </w:pPr>
      <w:r>
        <w:rPr>
          <w:rFonts w:eastAsia="" w:cs="Times New Roman" w:ascii="Times New Roman" w:hAnsi="Times New Roman" w:eastAsiaTheme="minorEastAsia"/>
          <w:b/>
          <w:bCs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 xml:space="preserve">5.Открытый плавательный бассейн </w:t>
      </w:r>
      <w:r>
        <w:rPr>
          <w:rFonts w:eastAsia="" w:cs="Times New Roman" w:ascii="Times New Roman" w:hAnsi="Times New Roman" w:eastAsiaTheme="minorEastAsia"/>
          <w:b w:val="false"/>
          <w:bCs w:val="false"/>
          <w:i w:val="false"/>
          <w:iCs w:val="false"/>
          <w:color w:val="auto"/>
          <w:kern w:val="0"/>
          <w:sz w:val="28"/>
          <w:szCs w:val="28"/>
          <w:lang w:val="ru-RU" w:eastAsia="ru-RU" w:bidi="ar-SA"/>
        </w:rPr>
        <w:t>с пресной водой (площадью 96 кв.м), оборудован резиновым покрытием, лежаками. Используется для ежедневного купания детей, обучения плаванию, занятием в студии акваэробики. Занятия проводятся под руководством инструктора по плаванию. На каждом занятии присутствует матрос  спасатель и медицинский работник.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Материально- техническая база 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ОСК «Дельфин»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,  оснащенность музыкальным оборудованием, оборудованием для показа кинофильмов, наличие разнообразного реквизита, </w:t>
      </w:r>
      <w:r>
        <w:rPr>
          <w:rFonts w:eastAsia="" w:cs="Times New Roman" w:ascii="Times New Roman" w:hAnsi="Times New Roman" w:eastAsiaTheme="minorEastAsia"/>
          <w:color w:val="auto"/>
          <w:kern w:val="0"/>
          <w:sz w:val="28"/>
          <w:szCs w:val="28"/>
          <w:lang w:val="ru-RU" w:eastAsia="ru-RU" w:bidi="ar-SA"/>
        </w:rPr>
        <w:t>обеспечение высоко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профессиональными  кадрами, которые полностью посвящают  себя детям, позволяют каждому ребенку раскрыть свои способности и таланты. </w:t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90440" cy="3516630"/>
            <wp:effectExtent l="0" t="0" r="0" b="0"/>
            <wp:wrapSquare wrapText="largest"/>
            <wp:docPr id="12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51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jc w:val="both"/>
        <w:rPr/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Пляж ОСК «Дельфин» - </w:t>
      </w: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песочно-галечный  протяженностью 165 метров. Оборудован теневыми навесами, лежаками, душевыми кабинами и кабинами для переодевания, медицинским  пунктом. На пляже функционирует оборудованный спасательный пункт, где работают обученные матросы-  спасатели. Пляж имеет ограждение, </w:t>
      </w:r>
      <w:r>
        <w:rPr>
          <w:rFonts w:eastAsia="" w:cs="Times New Roman" w:ascii="Times New Roman" w:hAnsi="Times New Roman"/>
          <w:b w:val="false"/>
          <w:bCs w:val="false"/>
          <w:color w:val="000000"/>
          <w:kern w:val="0"/>
          <w:sz w:val="28"/>
          <w:szCs w:val="28"/>
          <w:lang w:val="ru-RU" w:eastAsia="ru-RU" w:bidi="ar-SA"/>
        </w:rPr>
        <w:t xml:space="preserve">оборудован системой </w:t>
      </w:r>
      <w:r>
        <w:rPr>
          <w:rFonts w:cs="Times New Roman" w:ascii="Times New Roman" w:hAnsi="Times New Roman"/>
          <w:b w:val="false"/>
          <w:bCs w:val="false"/>
          <w:color w:val="000000"/>
          <w:sz w:val="28"/>
          <w:szCs w:val="28"/>
        </w:rPr>
        <w:t xml:space="preserve"> видеонаблюдения. Акватория  моря ограждена. Ежегодно перед открытием летнего сезона проводится водолазное обследование морского дна, получается паспорт пляжа и санитарно-эпидемиологическое заключение Роспотребнадзора Республики Крым, разрешающий использование пляжа и водной глади в рекреационных целях. Отдыхающие дети посещают пляж ежедневно ( за исключением неблагоприятных погодных условий) купание производится в соответствии нормам и правилам СанПин, под руководством квалифицированных инструкторов по физической культуре и плаванию.</w:t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366395</wp:posOffset>
            </wp:positionH>
            <wp:positionV relativeFrom="paragraph">
              <wp:posOffset>32385</wp:posOffset>
            </wp:positionV>
            <wp:extent cx="4981575" cy="5109210"/>
            <wp:effectExtent l="0" t="0" r="0" b="0"/>
            <wp:wrapSquare wrapText="largest"/>
            <wp:docPr id="13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510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326390</wp:posOffset>
            </wp:positionH>
            <wp:positionV relativeFrom="paragraph">
              <wp:posOffset>148590</wp:posOffset>
            </wp:positionV>
            <wp:extent cx="5116830" cy="4142740"/>
            <wp:effectExtent l="0" t="0" r="0" b="0"/>
            <wp:wrapSquare wrapText="largest"/>
            <wp:docPr id="14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830" cy="414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</w:r>
    </w:p>
    <w:p>
      <w:pPr>
        <w:pStyle w:val="Normal"/>
        <w:spacing w:lineRule="atLeast" w:line="240" w:before="0" w:after="200"/>
        <w:ind w:firstLine="567"/>
        <w:contextualSpacing/>
        <w:rPr/>
      </w:pPr>
      <w:r>
        <w:rPr/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332740</wp:posOffset>
            </wp:positionH>
            <wp:positionV relativeFrom="paragraph">
              <wp:posOffset>46355</wp:posOffset>
            </wp:positionV>
            <wp:extent cx="4880610" cy="4880610"/>
            <wp:effectExtent l="0" t="0" r="0" b="0"/>
            <wp:wrapSquare wrapText="largest"/>
            <wp:docPr id="1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488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Cambria"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70"/>
  <w:defaultTabStop w:val="708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0638e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paragraph" w:styleId="Heading1">
    <w:name w:val="heading 1"/>
    <w:basedOn w:val="Normal"/>
    <w:next w:val="Normal"/>
    <w:uiPriority w:val="9"/>
    <w:qFormat/>
    <w:rsid w:val="00187d1e"/>
    <w:pPr>
      <w:keepNext w:val="true"/>
      <w:keepLines/>
      <w:spacing w:before="480" w:after="0"/>
      <w:outlineLvl w:val="0"/>
    </w:pPr>
    <w:rPr>
      <w:rFonts w:ascii="Cambria" w:hAnsi="Cambria" w:eastAsia="" w:cs="" w:asciiTheme="majorHAnsi" w:cstheme="majorBidi" w:eastAsiaTheme="majorEastAsia" w:hAnsiTheme="majorHAnsi"/>
      <w:b/>
      <w:bCs/>
      <w:color w:themeColor="accent1" w:themeShade="bf" w:val="365F91"/>
      <w:sz w:val="28"/>
      <w:szCs w:val="28"/>
    </w:rPr>
  </w:style>
  <w:style w:type="paragraph" w:styleId="Heading2">
    <w:name w:val="heading 2"/>
    <w:basedOn w:val="Normal"/>
    <w:uiPriority w:val="9"/>
    <w:qFormat/>
    <w:rsid w:val="00904bba"/>
    <w:pPr>
      <w:spacing w:lineRule="auto" w:line="240" w:beforeAutospacing="1" w:afterAutospacing="1"/>
      <w:outlineLvl w:val="1"/>
    </w:pPr>
    <w:rPr>
      <w:rFonts w:ascii="Times New Roman" w:hAnsi="Times New Roman" w:eastAsia="Times New Roman" w:cs="Times New Roman"/>
      <w:b/>
      <w:bCs/>
      <w:sz w:val="36"/>
      <w:szCs w:val="3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" w:customStyle="1">
    <w:name w:val="Заголовок 2 Знак"/>
    <w:basedOn w:val="DefaultParagraphFont"/>
    <w:uiPriority w:val="9"/>
    <w:qFormat/>
    <w:rsid w:val="00904bba"/>
    <w:rPr>
      <w:rFonts w:ascii="Times New Roman" w:hAnsi="Times New Roman" w:eastAsia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904bba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904bba"/>
    <w:rPr>
      <w:color w:val="0000FF"/>
      <w:u w:val="single"/>
    </w:rPr>
  </w:style>
  <w:style w:type="character" w:styleId="32cbmjxkuk7ckwavpr60" w:customStyle="1">
    <w:name w:val="_32cbmj_xkuk7c_kwavpr60"/>
    <w:basedOn w:val="DefaultParagraphFont"/>
    <w:qFormat/>
    <w:rsid w:val="00904bba"/>
    <w:rPr/>
  </w:style>
  <w:style w:type="character" w:styleId="Style12" w:customStyle="1">
    <w:name w:val="Текст выноски Знак"/>
    <w:basedOn w:val="DefaultParagraphFont"/>
    <w:uiPriority w:val="99"/>
    <w:semiHidden/>
    <w:qFormat/>
    <w:rsid w:val="00904bba"/>
    <w:rPr>
      <w:rFonts w:ascii="Tahoma" w:hAnsi="Tahoma" w:cs="Tahoma"/>
      <w:sz w:val="16"/>
      <w:szCs w:val="16"/>
    </w:rPr>
  </w:style>
  <w:style w:type="character" w:styleId="Style13">
    <w:name w:val="Выделение"/>
    <w:basedOn w:val="DefaultParagraphFont"/>
    <w:uiPriority w:val="20"/>
    <w:qFormat/>
    <w:rsid w:val="00904bba"/>
    <w:rPr>
      <w:i/>
      <w:iCs/>
    </w:rPr>
  </w:style>
  <w:style w:type="character" w:styleId="1" w:customStyle="1">
    <w:name w:val="Заголовок 1 Знак"/>
    <w:basedOn w:val="DefaultParagraphFont"/>
    <w:uiPriority w:val="9"/>
    <w:qFormat/>
    <w:rsid w:val="00187d1e"/>
    <w:rPr>
      <w:rFonts w:ascii="Cambria" w:hAnsi="Cambria" w:eastAsia="" w:cs="" w:asciiTheme="majorHAnsi" w:cstheme="majorBidi" w:eastAsiaTheme="majorEastAsia" w:hAnsiTheme="majorHAnsi"/>
      <w:b/>
      <w:bCs/>
      <w:color w:themeColor="accent1" w:themeShade="bf" w:val="365F91"/>
      <w:sz w:val="28"/>
      <w:szCs w:val="28"/>
    </w:rPr>
  </w:style>
  <w:style w:type="character" w:styleId="Style14">
    <w:name w:val="Выделение жирным"/>
    <w:qFormat/>
    <w:rPr>
      <w:b/>
      <w:bCs/>
    </w:rPr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ascii="Times New Roman" w:hAnsi="Times New Roman"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Times New Roman" w:hAnsi="Times New Roman" w:cs="Arial"/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>
      <w:rFonts w:cs="Lucida Sans"/>
    </w:rPr>
  </w:style>
  <w:style w:type="paragraph" w:styleId="user">
    <w:name w:val="Заголовок (user)"/>
    <w:basedOn w:val="Normal"/>
    <w:next w:val="BodyText"/>
    <w:qFormat/>
    <w:pPr>
      <w:keepNext w:val="true"/>
      <w:spacing w:before="240" w:after="120"/>
    </w:pPr>
    <w:rPr>
      <w:rFonts w:ascii="Times New Roman" w:hAnsi="Times New Roman" w:eastAsia="Microsoft YaHei" w:cs="Arial"/>
      <w:sz w:val="28"/>
      <w:szCs w:val="28"/>
    </w:rPr>
  </w:style>
  <w:style w:type="paragraph" w:styleId="user1">
    <w:name w:val="Указатель (user)"/>
    <w:basedOn w:val="Normal"/>
    <w:qFormat/>
    <w:pPr>
      <w:suppressLineNumbers/>
    </w:pPr>
    <w:rPr>
      <w:rFonts w:ascii="Times New Roman" w:hAnsi="Times New Roman" w:cs="Arial"/>
    </w:rPr>
  </w:style>
  <w:style w:type="paragraph" w:styleId="NormalWeb">
    <w:name w:val="Normal (Web)"/>
    <w:basedOn w:val="Normal"/>
    <w:uiPriority w:val="99"/>
    <w:unhideWhenUsed/>
    <w:qFormat/>
    <w:rsid w:val="00904bb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BalloonText">
    <w:name w:val="Balloon Text"/>
    <w:basedOn w:val="Normal"/>
    <w:uiPriority w:val="99"/>
    <w:semiHidden/>
    <w:unhideWhenUsed/>
    <w:qFormat/>
    <w:rsid w:val="00904bba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5334"/>
    <w:pPr>
      <w:spacing w:before="0" w:after="200"/>
      <w:ind w:hanging="0" w:left="720"/>
      <w:contextualSpacing/>
    </w:pPr>
    <w:rPr/>
  </w:style>
  <w:style w:type="paragraph" w:styleId="user2">
    <w:name w:val="Содержимое таблицы (user)"/>
    <w:basedOn w:val="Normal"/>
    <w:qFormat/>
    <w:pPr>
      <w:widowControl w:val="false"/>
      <w:suppressLineNumbers/>
    </w:pPr>
    <w:rPr/>
  </w:style>
  <w:style w:type="paragraph" w:styleId="user3">
    <w:name w:val="Заголовок таблицы (user)"/>
    <w:basedOn w:val="user2"/>
    <w:qFormat/>
    <w:pPr>
      <w:suppressLineNumbers/>
      <w:jc w:val="center"/>
    </w:pPr>
    <w:rPr>
      <w:b/>
      <w:bCs/>
    </w:rPr>
  </w:style>
  <w:style w:type="numbering" w:styleId="Style17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a">
    <w:name w:val="Table Grid"/>
    <w:basedOn w:val="a1"/>
    <w:uiPriority w:val="59"/>
    <w:rsid w:val="006566e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fontTable" Target="fontTable.xml"/><Relationship Id="rId18" Type="http://schemas.openxmlformats.org/officeDocument/2006/relationships/settings" Target="settings.xml"/><Relationship Id="rId1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880</TotalTime>
  <Application>LibreOffice/24.8.5.2$Windows_X86_64 LibreOffice_project/fddf2685c70b461e7832239a0162a77216259f22</Application>
  <AppVersion>15.0000</AppVersion>
  <Pages>14</Pages>
  <Words>1474</Words>
  <Characters>10452</Characters>
  <CharactersWithSpaces>11951</CharactersWithSpaces>
  <Paragraphs>76</Paragraphs>
  <Company>Grizli777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2024-12-02T07:54:00Z</dcterms:created>
  <dc:creator>user</dc:creator>
  <dc:description/>
  <dc:language>ru-RU</dc:language>
  <cp:lastModifiedBy/>
  <dcterms:modified xsi:type="dcterms:W3CDTF">2024-12-25T14:50:30Z</dcterms:modified>
  <cp:revision>58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